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77777777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>Regulamin przetargu ustnego nieograniczonego na oddanie w najem lokalu użytkowego, garażu położonego w Piotrkowie Trybunalskim przy ulicy Sulejowskiej 35, o powierzchni użytkowej 16,53 m2.</w:t>
      </w:r>
    </w:p>
    <w:p w14:paraId="657116A1" w14:textId="460EA4D7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Data i miejsce przetargu: dnia 0</w:t>
      </w:r>
      <w:r w:rsidR="0008664A">
        <w:rPr>
          <w:rFonts w:asciiTheme="majorHAnsi" w:hAnsiTheme="majorHAnsi" w:cstheme="majorHAnsi"/>
          <w:sz w:val="24"/>
          <w:szCs w:val="24"/>
        </w:rPr>
        <w:t>2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08664A">
        <w:rPr>
          <w:rFonts w:asciiTheme="majorHAnsi" w:hAnsiTheme="majorHAnsi" w:cstheme="majorHAnsi"/>
          <w:sz w:val="24"/>
          <w:szCs w:val="24"/>
        </w:rPr>
        <w:t>czerwca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881EC5">
        <w:rPr>
          <w:rFonts w:asciiTheme="majorHAnsi" w:hAnsiTheme="majorHAnsi" w:cstheme="majorHAnsi"/>
          <w:sz w:val="24"/>
          <w:szCs w:val="24"/>
        </w:rPr>
        <w:t>1</w:t>
      </w:r>
      <w:r w:rsidRPr="00910451">
        <w:rPr>
          <w:rFonts w:asciiTheme="majorHAnsi" w:hAnsiTheme="majorHAnsi" w:cstheme="majorHAnsi"/>
          <w:sz w:val="24"/>
          <w:szCs w:val="24"/>
        </w:rPr>
        <w:t xml:space="preserve">:30, w siedzibie Towarzystwa Budownictwa Społecznego Spółka z ograniczoną odpowiedzialnością w Piotrkowie Trybunalskim, Aleja 3 Maja 31, budynek „B”, </w:t>
      </w:r>
      <w:r w:rsidR="0008664A">
        <w:rPr>
          <w:rFonts w:asciiTheme="majorHAnsi" w:hAnsiTheme="majorHAnsi" w:cstheme="majorHAnsi"/>
          <w:sz w:val="24"/>
          <w:szCs w:val="24"/>
        </w:rPr>
        <w:t>pokój nr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Postanowienia ogólne</w:t>
      </w:r>
    </w:p>
    <w:p w14:paraId="03672C46" w14:textId="6B82C515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08664A">
        <w:rPr>
          <w:rFonts w:asciiTheme="majorHAnsi" w:hAnsiTheme="majorHAnsi" w:cstheme="majorHAnsi"/>
          <w:sz w:val="24"/>
          <w:szCs w:val="24"/>
        </w:rPr>
        <w:t>trzeciego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użytkowego, garażu położonego w Piotrkowie Trybunalskim przy ulicy Sulejowskiej 35, o powierzchni 16,53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Zarządzenie Numer 289 Prezydenta Miasta Piotrkowa Trybunalskiego z dnia 18 października 2021 roku w sprawie zasad wynajmowania lokali użytkowych na okres do 3 lat, na czas oznaczony dłuższy niż 3 lata lub czas nieoznaczony oraz w przypadku, gdy po umowie 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196C82FF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2DE10E1F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Przedmiot przetargu, okres najmu i wysokość czynszu najmu:</w:t>
      </w:r>
    </w:p>
    <w:p w14:paraId="129D8B09" w14:textId="77777777" w:rsidR="00881EC5" w:rsidRDefault="00910451" w:rsidP="00881EC5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6D28194D" w14:textId="77777777" w:rsidR="00881EC5" w:rsidRDefault="00910451" w:rsidP="00881EC5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81EC5">
        <w:rPr>
          <w:rFonts w:asciiTheme="majorHAnsi" w:hAnsiTheme="majorHAnsi" w:cstheme="majorHAnsi"/>
          <w:sz w:val="24"/>
          <w:szCs w:val="24"/>
        </w:rPr>
        <w:t>na cel: przechowywanie samochodu lub innego pojazdu mechanicznego na przykład motocykla,</w:t>
      </w:r>
    </w:p>
    <w:p w14:paraId="6A00CA0F" w14:textId="77777777" w:rsidR="00881EC5" w:rsidRDefault="00910451" w:rsidP="00881EC5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81EC5">
        <w:rPr>
          <w:rFonts w:asciiTheme="majorHAnsi" w:hAnsiTheme="majorHAnsi" w:cstheme="majorHAnsi"/>
          <w:sz w:val="24"/>
          <w:szCs w:val="24"/>
        </w:rPr>
        <w:t>położonego w: Piotrków Trybunalski przy ulicy Sulejowskiej 35,</w:t>
      </w:r>
    </w:p>
    <w:p w14:paraId="137B3365" w14:textId="16021C35" w:rsidR="00910451" w:rsidRPr="00881EC5" w:rsidRDefault="00910451" w:rsidP="00881EC5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81EC5">
        <w:rPr>
          <w:rFonts w:asciiTheme="majorHAnsi" w:hAnsiTheme="majorHAnsi" w:cstheme="majorHAnsi"/>
          <w:sz w:val="24"/>
          <w:szCs w:val="24"/>
        </w:rPr>
        <w:t>o powierzchni użytkowej: 16,53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0E5D4A31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08664A">
        <w:rPr>
          <w:rFonts w:asciiTheme="majorHAnsi" w:hAnsiTheme="majorHAnsi" w:cstheme="majorHAnsi"/>
          <w:sz w:val="24"/>
          <w:szCs w:val="24"/>
        </w:rPr>
        <w:t>7</w:t>
      </w:r>
      <w:r w:rsidR="00881EC5">
        <w:rPr>
          <w:rFonts w:asciiTheme="majorHAnsi" w:hAnsiTheme="majorHAnsi" w:cstheme="majorHAnsi"/>
          <w:sz w:val="24"/>
          <w:szCs w:val="24"/>
        </w:rPr>
        <w:t>9,</w:t>
      </w:r>
      <w:r w:rsidR="0008664A">
        <w:rPr>
          <w:rFonts w:asciiTheme="majorHAnsi" w:hAnsiTheme="majorHAnsi" w:cstheme="majorHAnsi"/>
          <w:sz w:val="24"/>
          <w:szCs w:val="24"/>
        </w:rPr>
        <w:t>34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Warunki i zasady uczestnictwa w przetargu:</w:t>
      </w:r>
    </w:p>
    <w:p w14:paraId="4182048D" w14:textId="61250D1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08664A">
        <w:rPr>
          <w:rFonts w:asciiTheme="majorHAnsi" w:hAnsiTheme="majorHAnsi" w:cstheme="majorHAnsi"/>
          <w:sz w:val="24"/>
          <w:szCs w:val="24"/>
        </w:rPr>
        <w:t>79,34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08664A">
        <w:rPr>
          <w:rFonts w:asciiTheme="majorHAnsi" w:hAnsiTheme="majorHAnsi" w:cstheme="majorHAnsi"/>
          <w:sz w:val="24"/>
          <w:szCs w:val="24"/>
        </w:rPr>
        <w:t>siedemdziesiąt</w:t>
      </w:r>
      <w:r w:rsidR="00881EC5">
        <w:rPr>
          <w:rFonts w:asciiTheme="majorHAnsi" w:hAnsiTheme="majorHAnsi" w:cstheme="majorHAnsi"/>
          <w:sz w:val="24"/>
          <w:szCs w:val="24"/>
        </w:rPr>
        <w:t xml:space="preserve"> dziewięć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złotych </w:t>
      </w:r>
      <w:r w:rsidR="0008664A">
        <w:rPr>
          <w:rFonts w:asciiTheme="majorHAnsi" w:hAnsiTheme="majorHAnsi" w:cstheme="majorHAnsi"/>
          <w:sz w:val="24"/>
          <w:szCs w:val="24"/>
        </w:rPr>
        <w:t>34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Sulejowskiej 35 o powierzchni 16,53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2A51980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52D00CA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jest Biuro Obsługi Mieszkańców Towarzystwo Gospodarcze spółka cywilna w Piotrkowie Trybunalskim, ulica Krasickiego 3 (telefon 44/646-51-15).</w:t>
      </w:r>
    </w:p>
    <w:p w14:paraId="1F01733A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Biuro Obsługi Mieszkańców Towarzystwo Gospodarcze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spółka cywilna w Piotrkowie Trybunalskim, ulica Krasickiego 3 (telefon 44/646-51-15).Oględzin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  <w:r w:rsidRPr="00910451">
        <w:rPr>
          <w:rFonts w:cstheme="majorHAnsi"/>
          <w:color w:val="auto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530"/>
    <w:multiLevelType w:val="hybridMultilevel"/>
    <w:tmpl w:val="96EAF9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41665">
    <w:abstractNumId w:val="5"/>
  </w:num>
  <w:num w:numId="2" w16cid:durableId="925040903">
    <w:abstractNumId w:val="6"/>
  </w:num>
  <w:num w:numId="3" w16cid:durableId="517962602">
    <w:abstractNumId w:val="1"/>
  </w:num>
  <w:num w:numId="4" w16cid:durableId="185221812">
    <w:abstractNumId w:val="2"/>
  </w:num>
  <w:num w:numId="5" w16cid:durableId="998272816">
    <w:abstractNumId w:val="8"/>
  </w:num>
  <w:num w:numId="6" w16cid:durableId="1253204883">
    <w:abstractNumId w:val="7"/>
  </w:num>
  <w:num w:numId="7" w16cid:durableId="1073236057">
    <w:abstractNumId w:val="9"/>
  </w:num>
  <w:num w:numId="8" w16cid:durableId="407923234">
    <w:abstractNumId w:val="0"/>
  </w:num>
  <w:num w:numId="9" w16cid:durableId="1764647497">
    <w:abstractNumId w:val="10"/>
  </w:num>
  <w:num w:numId="10" w16cid:durableId="2007511417">
    <w:abstractNumId w:val="4"/>
  </w:num>
  <w:num w:numId="11" w16cid:durableId="37527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08664A"/>
    <w:rsid w:val="000C122B"/>
    <w:rsid w:val="00101003"/>
    <w:rsid w:val="001F4CEB"/>
    <w:rsid w:val="007B08F3"/>
    <w:rsid w:val="00881EC5"/>
    <w:rsid w:val="009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8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Komar</dc:creator>
  <cp:keywords/>
  <dc:description/>
  <cp:lastModifiedBy>Hanna Komar</cp:lastModifiedBy>
  <cp:revision>4</cp:revision>
  <dcterms:created xsi:type="dcterms:W3CDTF">2022-02-11T13:13:00Z</dcterms:created>
  <dcterms:modified xsi:type="dcterms:W3CDTF">2022-05-10T08:36:00Z</dcterms:modified>
</cp:coreProperties>
</file>